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9"/>
        <w:gridCol w:w="7699"/>
      </w:tblGrid>
      <w:tr w:rsidR="00D969B7" w:rsidRPr="00D969B7" w:rsidTr="009443FB">
        <w:tc>
          <w:tcPr>
            <w:tcW w:w="2500" w:type="pct"/>
            <w:vAlign w:val="center"/>
          </w:tcPr>
          <w:p w:rsidR="00D969B7" w:rsidRPr="00D969B7" w:rsidRDefault="0066238E" w:rsidP="00507905">
            <w:pPr>
              <w:pStyle w:val="NoSpacing"/>
              <w:jc w:val="center"/>
              <w:rPr>
                <w:rFonts w:cs="Arial"/>
                <w:i/>
                <w:sz w:val="52"/>
              </w:rPr>
            </w:pPr>
            <w:r>
              <w:rPr>
                <w:rFonts w:cs="Arial"/>
                <w:i/>
                <w:noProof/>
                <w:sz w:val="56"/>
                <w:lang w:eastAsia="en-NZ"/>
              </w:rPr>
              <w:t xml:space="preserve">SQUASH </w:t>
            </w:r>
            <w:r>
              <w:rPr>
                <w:rFonts w:cs="Arial"/>
                <w:b/>
                <w:i/>
                <w:noProof/>
                <w:sz w:val="56"/>
                <w:lang w:eastAsia="en-NZ"/>
              </w:rPr>
              <w:t>COACHFORCE</w:t>
            </w:r>
          </w:p>
        </w:tc>
        <w:tc>
          <w:tcPr>
            <w:tcW w:w="2500" w:type="pct"/>
          </w:tcPr>
          <w:p w:rsidR="00D969B7" w:rsidRPr="00D969B7" w:rsidRDefault="00D969B7" w:rsidP="00507905">
            <w:pPr>
              <w:pStyle w:val="NoSpacing"/>
              <w:jc w:val="center"/>
              <w:rPr>
                <w:rFonts w:cs="Arial"/>
                <w:sz w:val="24"/>
              </w:rPr>
            </w:pPr>
          </w:p>
          <w:p w:rsidR="00D969B7" w:rsidRPr="00D969B7" w:rsidRDefault="00623801" w:rsidP="00507905">
            <w:pPr>
              <w:pStyle w:val="NoSpacing"/>
              <w:jc w:val="center"/>
              <w:rPr>
                <w:rFonts w:cs="Arial"/>
                <w:b/>
                <w:sz w:val="40"/>
              </w:rPr>
            </w:pPr>
            <w:r>
              <w:rPr>
                <w:rFonts w:cs="Arial"/>
                <w:b/>
                <w:sz w:val="40"/>
              </w:rPr>
              <w:t>Club Questionnaire</w:t>
            </w:r>
          </w:p>
          <w:p w:rsidR="00D969B7" w:rsidRPr="00D969B7" w:rsidRDefault="00D969B7" w:rsidP="00A55933">
            <w:pPr>
              <w:pStyle w:val="NoSpacing"/>
              <w:jc w:val="center"/>
              <w:rPr>
                <w:rFonts w:cs="Arial"/>
                <w:sz w:val="24"/>
              </w:rPr>
            </w:pPr>
            <w:r w:rsidRPr="00D969B7">
              <w:rPr>
                <w:rFonts w:cs="Arial"/>
                <w:sz w:val="24"/>
              </w:rPr>
              <w:t xml:space="preserve">Squash New Zealand CoachForce </w:t>
            </w:r>
            <w:r w:rsidR="00623801">
              <w:rPr>
                <w:rFonts w:cs="Arial"/>
                <w:sz w:val="24"/>
              </w:rPr>
              <w:t>Programme</w:t>
            </w:r>
            <w:r w:rsidR="009443FB">
              <w:rPr>
                <w:rFonts w:cs="Arial"/>
                <w:sz w:val="24"/>
              </w:rPr>
              <w:t xml:space="preserve"> </w:t>
            </w:r>
          </w:p>
        </w:tc>
      </w:tr>
      <w:tr w:rsidR="009443FB" w:rsidRPr="00642754" w:rsidTr="009443FB">
        <w:tc>
          <w:tcPr>
            <w:tcW w:w="2500" w:type="pct"/>
            <w:vAlign w:val="center"/>
          </w:tcPr>
          <w:p w:rsidR="009443FB" w:rsidRPr="00642754" w:rsidRDefault="009443FB" w:rsidP="00507905">
            <w:pPr>
              <w:pStyle w:val="NoSpacing"/>
              <w:jc w:val="center"/>
              <w:rPr>
                <w:rFonts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2500" w:type="pct"/>
          </w:tcPr>
          <w:p w:rsidR="009443FB" w:rsidRPr="00642754" w:rsidRDefault="009443FB" w:rsidP="00507905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9560C" w:rsidRPr="0049560C" w:rsidRDefault="0049560C" w:rsidP="00623801">
      <w:pPr>
        <w:pStyle w:val="NoSpacing"/>
        <w:rPr>
          <w:rFonts w:cs="Arial"/>
          <w:sz w:val="24"/>
          <w:szCs w:val="24"/>
        </w:rPr>
      </w:pPr>
    </w:p>
    <w:p w:rsidR="003E7BA7" w:rsidRPr="003E7BA7" w:rsidRDefault="003E7BA7" w:rsidP="00623801">
      <w:pPr>
        <w:pStyle w:val="NoSpacing"/>
        <w:rPr>
          <w:rFonts w:cs="Arial"/>
          <w:b/>
          <w:sz w:val="28"/>
          <w:szCs w:val="24"/>
          <w:u w:val="single"/>
        </w:rPr>
      </w:pPr>
      <w:r w:rsidRPr="003E7BA7">
        <w:rPr>
          <w:rFonts w:cs="Arial"/>
          <w:b/>
          <w:sz w:val="28"/>
          <w:szCs w:val="24"/>
          <w:u w:val="single"/>
        </w:rPr>
        <w:t>Coach Development</w:t>
      </w:r>
    </w:p>
    <w:p w:rsidR="00032781" w:rsidRDefault="00830934" w:rsidP="00623801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CoachForce Club Q</w:t>
      </w:r>
      <w:r w:rsidR="00623801">
        <w:rPr>
          <w:rFonts w:cs="Arial"/>
          <w:sz w:val="24"/>
          <w:szCs w:val="24"/>
        </w:rPr>
        <w:t xml:space="preserve">uestionnaire can assist with </w:t>
      </w:r>
      <w:r w:rsidR="00032781">
        <w:rPr>
          <w:rFonts w:cs="Arial"/>
          <w:sz w:val="24"/>
          <w:szCs w:val="24"/>
        </w:rPr>
        <w:t xml:space="preserve">creating </w:t>
      </w:r>
      <w:r w:rsidR="005E63C6">
        <w:rPr>
          <w:rFonts w:cs="Arial"/>
          <w:sz w:val="24"/>
          <w:szCs w:val="24"/>
        </w:rPr>
        <w:t>your</w:t>
      </w:r>
      <w:r w:rsidR="0003278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</w:t>
      </w:r>
      <w:r w:rsidR="00623801">
        <w:rPr>
          <w:rFonts w:cs="Arial"/>
          <w:sz w:val="24"/>
          <w:szCs w:val="24"/>
        </w:rPr>
        <w:t>lub</w:t>
      </w:r>
      <w:r w:rsidR="005E63C6">
        <w:rPr>
          <w:rFonts w:cs="Arial"/>
          <w:sz w:val="24"/>
          <w:szCs w:val="24"/>
        </w:rPr>
        <w:t>’s annual</w:t>
      </w:r>
      <w:r w:rsidR="0062380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</w:t>
      </w:r>
      <w:r w:rsidR="00623801">
        <w:rPr>
          <w:rFonts w:cs="Arial"/>
          <w:sz w:val="24"/>
          <w:szCs w:val="24"/>
        </w:rPr>
        <w:t xml:space="preserve">oach </w:t>
      </w:r>
      <w:r>
        <w:rPr>
          <w:rFonts w:cs="Arial"/>
          <w:sz w:val="24"/>
          <w:szCs w:val="24"/>
        </w:rPr>
        <w:t>d</w:t>
      </w:r>
      <w:r w:rsidR="00623801">
        <w:rPr>
          <w:rFonts w:cs="Arial"/>
          <w:sz w:val="24"/>
          <w:szCs w:val="24"/>
        </w:rPr>
        <w:t xml:space="preserve">evelopment </w:t>
      </w:r>
      <w:r>
        <w:rPr>
          <w:rFonts w:cs="Arial"/>
          <w:sz w:val="24"/>
          <w:szCs w:val="24"/>
        </w:rPr>
        <w:t>p</w:t>
      </w:r>
      <w:r w:rsidR="00623801">
        <w:rPr>
          <w:rFonts w:cs="Arial"/>
          <w:sz w:val="24"/>
          <w:szCs w:val="24"/>
        </w:rPr>
        <w:t xml:space="preserve">lan. </w:t>
      </w:r>
      <w:r w:rsidR="00032781">
        <w:rPr>
          <w:rFonts w:cs="Arial"/>
          <w:sz w:val="24"/>
          <w:szCs w:val="24"/>
        </w:rPr>
        <w:t>By s</w:t>
      </w:r>
      <w:r w:rsidR="00623801">
        <w:rPr>
          <w:rFonts w:cs="Arial"/>
          <w:sz w:val="24"/>
          <w:szCs w:val="24"/>
        </w:rPr>
        <w:t>ending the questionnaire to you</w:t>
      </w:r>
      <w:r w:rsidR="00032781">
        <w:rPr>
          <w:rFonts w:cs="Arial"/>
          <w:sz w:val="24"/>
          <w:szCs w:val="24"/>
        </w:rPr>
        <w:t>r</w:t>
      </w:r>
      <w:r w:rsidR="00623801">
        <w:rPr>
          <w:rFonts w:cs="Arial"/>
          <w:sz w:val="24"/>
          <w:szCs w:val="24"/>
        </w:rPr>
        <w:t xml:space="preserve"> coach database</w:t>
      </w:r>
      <w:r w:rsidR="00032781">
        <w:rPr>
          <w:rFonts w:cs="Arial"/>
          <w:sz w:val="24"/>
          <w:szCs w:val="24"/>
        </w:rPr>
        <w:t>, you can</w:t>
      </w:r>
      <w:r w:rsidR="00623801">
        <w:rPr>
          <w:rFonts w:cs="Arial"/>
          <w:sz w:val="24"/>
          <w:szCs w:val="24"/>
        </w:rPr>
        <w:t xml:space="preserve"> get feedback on </w:t>
      </w:r>
      <w:r>
        <w:rPr>
          <w:rFonts w:cs="Arial"/>
          <w:sz w:val="24"/>
          <w:szCs w:val="24"/>
        </w:rPr>
        <w:t xml:space="preserve">what </w:t>
      </w:r>
      <w:r w:rsidR="00623801">
        <w:rPr>
          <w:rFonts w:cs="Arial"/>
          <w:sz w:val="24"/>
          <w:szCs w:val="24"/>
        </w:rPr>
        <w:t xml:space="preserve">modules </w:t>
      </w:r>
      <w:r>
        <w:rPr>
          <w:rFonts w:cs="Arial"/>
          <w:sz w:val="24"/>
          <w:szCs w:val="24"/>
        </w:rPr>
        <w:t xml:space="preserve">your </w:t>
      </w:r>
      <w:r w:rsidR="00032781">
        <w:rPr>
          <w:rFonts w:cs="Arial"/>
          <w:sz w:val="24"/>
          <w:szCs w:val="24"/>
        </w:rPr>
        <w:t xml:space="preserve">coaches want </w:t>
      </w:r>
      <w:r>
        <w:rPr>
          <w:rFonts w:cs="Arial"/>
          <w:sz w:val="24"/>
          <w:szCs w:val="24"/>
        </w:rPr>
        <w:t xml:space="preserve">to upskill in and </w:t>
      </w:r>
      <w:r w:rsidR="00032781">
        <w:rPr>
          <w:rFonts w:cs="Arial"/>
          <w:sz w:val="24"/>
          <w:szCs w:val="24"/>
        </w:rPr>
        <w:t xml:space="preserve">the </w:t>
      </w:r>
      <w:r w:rsidR="00623801">
        <w:rPr>
          <w:rFonts w:cs="Arial"/>
          <w:sz w:val="24"/>
          <w:szCs w:val="24"/>
        </w:rPr>
        <w:t xml:space="preserve">most suitable times </w:t>
      </w:r>
      <w:r w:rsidR="00032781">
        <w:rPr>
          <w:rFonts w:cs="Arial"/>
          <w:sz w:val="24"/>
          <w:szCs w:val="24"/>
        </w:rPr>
        <w:t>to schedule</w:t>
      </w:r>
      <w:r w:rsidR="00623801">
        <w:rPr>
          <w:rFonts w:cs="Arial"/>
          <w:sz w:val="24"/>
          <w:szCs w:val="24"/>
        </w:rPr>
        <w:t xml:space="preserve"> coaching workshops</w:t>
      </w:r>
      <w:r w:rsidR="00032781">
        <w:rPr>
          <w:rFonts w:cs="Arial"/>
          <w:sz w:val="24"/>
          <w:szCs w:val="24"/>
        </w:rPr>
        <w:t>.</w:t>
      </w:r>
    </w:p>
    <w:p w:rsidR="00B809EB" w:rsidRDefault="00B809EB" w:rsidP="00623801">
      <w:pPr>
        <w:pStyle w:val="NoSpacing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6799"/>
        <w:gridCol w:w="941"/>
        <w:gridCol w:w="6753"/>
      </w:tblGrid>
      <w:tr w:rsidR="00B809EB" w:rsidTr="00B809EB">
        <w:tc>
          <w:tcPr>
            <w:tcW w:w="895" w:type="dxa"/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Club: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B809EB" w:rsidTr="00B809EB">
        <w:tc>
          <w:tcPr>
            <w:tcW w:w="895" w:type="dxa"/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6753" w:type="dxa"/>
            <w:tcBorders>
              <w:top w:val="single" w:sz="4" w:space="0" w:color="auto"/>
            </w:tcBorders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B809EB" w:rsidTr="00B809EB">
        <w:tc>
          <w:tcPr>
            <w:tcW w:w="895" w:type="dxa"/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Phone: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:rsidR="00B809EB" w:rsidRDefault="00B809EB" w:rsidP="00623801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</w:tbl>
    <w:p w:rsidR="00623801" w:rsidRDefault="00623801" w:rsidP="00623801">
      <w:pPr>
        <w:pStyle w:val="NoSpacing"/>
        <w:rPr>
          <w:rFonts w:cs="Arial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00"/>
        <w:gridCol w:w="3413"/>
        <w:gridCol w:w="4878"/>
        <w:gridCol w:w="548"/>
        <w:gridCol w:w="1733"/>
        <w:gridCol w:w="2170"/>
        <w:gridCol w:w="1446"/>
      </w:tblGrid>
      <w:tr w:rsidR="00891DBD" w:rsidRPr="0038494A" w:rsidTr="00891DBD">
        <w:trPr>
          <w:jc w:val="center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:rsidR="00891DBD" w:rsidRPr="0038494A" w:rsidRDefault="00891DBD" w:rsidP="00B84E1E">
            <w:pPr>
              <w:pStyle w:val="NoSpacing"/>
              <w:jc w:val="center"/>
              <w:rPr>
                <w:rFonts w:cs="Arial"/>
                <w:b/>
                <w:sz w:val="28"/>
                <w:szCs w:val="24"/>
              </w:rPr>
            </w:pPr>
            <w:r w:rsidRPr="0038494A">
              <w:rPr>
                <w:rFonts w:cs="Arial"/>
                <w:b/>
                <w:sz w:val="28"/>
                <w:szCs w:val="24"/>
              </w:rPr>
              <w:t>CLUB AND SCHOOL MODULES</w:t>
            </w:r>
          </w:p>
        </w:tc>
      </w:tr>
      <w:tr w:rsidR="00891DBD" w:rsidTr="00B84E1E">
        <w:trPr>
          <w:jc w:val="center"/>
        </w:trPr>
        <w:tc>
          <w:tcPr>
            <w:tcW w:w="1499" w:type="pct"/>
            <w:gridSpan w:val="2"/>
            <w:shd w:val="clear" w:color="auto" w:fill="F2F2F2" w:themeFill="background1" w:themeFillShade="F2"/>
            <w:vAlign w:val="center"/>
          </w:tcPr>
          <w:p w:rsidR="00891DBD" w:rsidRPr="00032781" w:rsidRDefault="00891DBD" w:rsidP="00B84E1E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Module</w:t>
            </w:r>
          </w:p>
        </w:tc>
        <w:tc>
          <w:tcPr>
            <w:tcW w:w="1585" w:type="pct"/>
            <w:vMerge w:val="restart"/>
            <w:shd w:val="clear" w:color="auto" w:fill="F2F2F2" w:themeFill="background1" w:themeFillShade="F2"/>
            <w:vAlign w:val="center"/>
          </w:tcPr>
          <w:p w:rsidR="00891DBD" w:rsidRPr="00032781" w:rsidRDefault="00891DBD" w:rsidP="00B84E1E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Content (Outline)</w:t>
            </w:r>
          </w:p>
        </w:tc>
        <w:tc>
          <w:tcPr>
            <w:tcW w:w="1916" w:type="pct"/>
            <w:gridSpan w:val="4"/>
            <w:shd w:val="clear" w:color="auto" w:fill="F2F2F2" w:themeFill="background1" w:themeFillShade="F2"/>
            <w:vAlign w:val="center"/>
          </w:tcPr>
          <w:p w:rsidR="00891DBD" w:rsidRPr="00032781" w:rsidRDefault="00891DBD" w:rsidP="00B84E1E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Please tick the modules that you would like to attend and when</w:t>
            </w:r>
          </w:p>
        </w:tc>
      </w:tr>
      <w:tr w:rsidR="00891DBD" w:rsidTr="00B84E1E">
        <w:trPr>
          <w:jc w:val="center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:rsidR="00891DBD" w:rsidRPr="00032781" w:rsidRDefault="00891DBD" w:rsidP="00B84E1E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</w:t>
            </w:r>
          </w:p>
        </w:tc>
        <w:tc>
          <w:tcPr>
            <w:tcW w:w="1109" w:type="pct"/>
            <w:shd w:val="clear" w:color="auto" w:fill="F2F2F2" w:themeFill="background1" w:themeFillShade="F2"/>
            <w:vAlign w:val="center"/>
          </w:tcPr>
          <w:p w:rsidR="00891DBD" w:rsidRPr="00032781" w:rsidRDefault="00891DBD" w:rsidP="00B84E1E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1585" w:type="pct"/>
            <w:vMerge/>
            <w:shd w:val="clear" w:color="auto" w:fill="F2F2F2" w:themeFill="background1" w:themeFillShade="F2"/>
            <w:vAlign w:val="center"/>
          </w:tcPr>
          <w:p w:rsidR="00891DBD" w:rsidRPr="00032781" w:rsidRDefault="00891DBD" w:rsidP="00B84E1E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891DBD" w:rsidRPr="00032781" w:rsidRDefault="00891DBD" w:rsidP="00B84E1E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:rsidR="00891DBD" w:rsidRPr="00032781" w:rsidRDefault="00891DBD" w:rsidP="00B84E1E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Month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:rsidR="00891DBD" w:rsidRPr="00032781" w:rsidRDefault="00891DBD" w:rsidP="00B84E1E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Day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:rsidR="00891DBD" w:rsidRPr="00032781" w:rsidRDefault="00891DBD" w:rsidP="00B84E1E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Time</w:t>
            </w:r>
          </w:p>
        </w:tc>
      </w:tr>
      <w:tr w:rsidR="002B44E3" w:rsidTr="002B44E3">
        <w:trPr>
          <w:jc w:val="center"/>
        </w:trPr>
        <w:tc>
          <w:tcPr>
            <w:tcW w:w="39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09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Get Started</w:t>
            </w:r>
          </w:p>
        </w:tc>
        <w:tc>
          <w:tcPr>
            <w:tcW w:w="1585" w:type="pct"/>
            <w:vAlign w:val="center"/>
          </w:tcPr>
          <w:p w:rsidR="00032781" w:rsidRDefault="000A7BF7" w:rsidP="000A7BF7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lesson formats, the court, basic rules, the swing, racket technique and feeding skills for new coaches.</w:t>
            </w:r>
          </w:p>
        </w:tc>
        <w:tc>
          <w:tcPr>
            <w:tcW w:w="178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B44E3" w:rsidTr="002B44E3">
        <w:trPr>
          <w:jc w:val="center"/>
        </w:trPr>
        <w:tc>
          <w:tcPr>
            <w:tcW w:w="39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09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Small Nix 5-8yrs</w:t>
            </w:r>
          </w:p>
        </w:tc>
        <w:tc>
          <w:tcPr>
            <w:tcW w:w="1585" w:type="pct"/>
            <w:vAlign w:val="center"/>
          </w:tcPr>
          <w:p w:rsidR="00032781" w:rsidRDefault="000A7BF7" w:rsidP="000A7BF7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child protection, junior programmes and skill and fitness development for 5-8 year olds.</w:t>
            </w:r>
          </w:p>
        </w:tc>
        <w:tc>
          <w:tcPr>
            <w:tcW w:w="178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B44E3" w:rsidTr="002B44E3">
        <w:trPr>
          <w:jc w:val="center"/>
        </w:trPr>
        <w:tc>
          <w:tcPr>
            <w:tcW w:w="39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2a</w:t>
            </w:r>
          </w:p>
        </w:tc>
        <w:tc>
          <w:tcPr>
            <w:tcW w:w="1109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Small Nix 5-8yrs</w:t>
            </w:r>
          </w:p>
        </w:tc>
        <w:tc>
          <w:tcPr>
            <w:tcW w:w="1585" w:type="pct"/>
            <w:vAlign w:val="center"/>
          </w:tcPr>
          <w:p w:rsidR="00032781" w:rsidRDefault="000A7BF7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feeding skills, fun activities and dealing with parents for 5-8 year olds.</w:t>
            </w:r>
          </w:p>
        </w:tc>
        <w:tc>
          <w:tcPr>
            <w:tcW w:w="178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B44E3" w:rsidTr="002B44E3">
        <w:trPr>
          <w:jc w:val="center"/>
        </w:trPr>
        <w:tc>
          <w:tcPr>
            <w:tcW w:w="39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09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Big Nix 9-12yrs</w:t>
            </w:r>
          </w:p>
        </w:tc>
        <w:tc>
          <w:tcPr>
            <w:tcW w:w="1585" w:type="pct"/>
            <w:vAlign w:val="center"/>
          </w:tcPr>
          <w:p w:rsidR="00032781" w:rsidRDefault="000A7BF7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focuses for training, fitness development, tactical awareness and session formatting for 9-12 year olds.</w:t>
            </w:r>
          </w:p>
        </w:tc>
        <w:tc>
          <w:tcPr>
            <w:tcW w:w="178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B44E3" w:rsidTr="002B44E3">
        <w:trPr>
          <w:jc w:val="center"/>
        </w:trPr>
        <w:tc>
          <w:tcPr>
            <w:tcW w:w="39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3a</w:t>
            </w:r>
          </w:p>
        </w:tc>
        <w:tc>
          <w:tcPr>
            <w:tcW w:w="1109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Big Nix 9-12yrs</w:t>
            </w:r>
          </w:p>
        </w:tc>
        <w:tc>
          <w:tcPr>
            <w:tcW w:w="1585" w:type="pct"/>
            <w:vAlign w:val="center"/>
          </w:tcPr>
          <w:p w:rsidR="00781A22" w:rsidRDefault="000A7BF7" w:rsidP="00781A2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child protection, feeding skills and squash technique for 9-12 year olds.</w:t>
            </w:r>
          </w:p>
        </w:tc>
        <w:tc>
          <w:tcPr>
            <w:tcW w:w="178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B44E3" w:rsidTr="002B44E3">
        <w:trPr>
          <w:jc w:val="center"/>
        </w:trPr>
        <w:tc>
          <w:tcPr>
            <w:tcW w:w="39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09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Club Youth 13-19yrs</w:t>
            </w:r>
          </w:p>
        </w:tc>
        <w:tc>
          <w:tcPr>
            <w:tcW w:w="1585" w:type="pct"/>
            <w:vAlign w:val="center"/>
          </w:tcPr>
          <w:p w:rsidR="00032781" w:rsidRDefault="000A7BF7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athlete characteristics, tactics, movement, strategy, conditioning and session plans for 13-19 year olds.</w:t>
            </w:r>
          </w:p>
        </w:tc>
        <w:tc>
          <w:tcPr>
            <w:tcW w:w="178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B44E3" w:rsidTr="002B44E3">
        <w:trPr>
          <w:jc w:val="center"/>
        </w:trPr>
        <w:tc>
          <w:tcPr>
            <w:tcW w:w="39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09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Primary / Intermediate School</w:t>
            </w:r>
          </w:p>
        </w:tc>
        <w:tc>
          <w:tcPr>
            <w:tcW w:w="1585" w:type="pct"/>
            <w:vAlign w:val="center"/>
          </w:tcPr>
          <w:p w:rsidR="00032781" w:rsidRDefault="000A7BF7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fundamental skill development, fun activities and coaching resources for the Kiwi Squash school programme.</w:t>
            </w:r>
          </w:p>
        </w:tc>
        <w:tc>
          <w:tcPr>
            <w:tcW w:w="178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032781" w:rsidRDefault="00032781" w:rsidP="00032781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2B44E3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5a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Secondary School</w:t>
            </w:r>
          </w:p>
        </w:tc>
        <w:tc>
          <w:tcPr>
            <w:tcW w:w="1585" w:type="pct"/>
            <w:vAlign w:val="center"/>
          </w:tcPr>
          <w:p w:rsidR="00E77325" w:rsidRPr="009C31D0" w:rsidRDefault="00E77325" w:rsidP="00E77325">
            <w:pPr>
              <w:pStyle w:val="NoSpacing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9C31D0">
              <w:rPr>
                <w:rFonts w:cs="Arial"/>
                <w:color w:val="FF0000"/>
                <w:sz w:val="24"/>
                <w:szCs w:val="24"/>
              </w:rPr>
              <w:t>Currently being developed – more information to follow.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2B44E3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5b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Tertiary School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Covers </w:t>
            </w:r>
            <w:r w:rsidR="000D3C33">
              <w:rPr>
                <w:rFonts w:cs="Arial"/>
                <w:sz w:val="24"/>
                <w:szCs w:val="24"/>
              </w:rPr>
              <w:t>the needs of tertiary students, general movement, ball control, conditioned games, technique, game play, programme ideas, club promotion and competitive options.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2B44E3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Adult Starters Club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the needs of adults, principles of learning, activities to develop movement, coordination and tactics, and information on trouble shooting scenarios for beginner adults.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2B44E3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Social Club Player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principles of learning, diagnosing errors and correcting technique, giving feedback and programme ideas for social club players.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2B44E3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Women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key considerations for females, common myths, technical development, giving feedback and programme ideas for women.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2B44E3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Club Teams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characteristics of teams, building culture, understanding selection, structuring group sessions and ideas to help prepare for an event.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2B44E3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Club Graded Competitive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identifying weaknesses, scheduling practice and competitions, the grading list effect and training ideas for club graded competitive players.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63F75" w:rsidRPr="006816F8" w:rsidTr="00793B4F">
        <w:trPr>
          <w:jc w:val="center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:rsidR="00A63F75" w:rsidRPr="006816F8" w:rsidRDefault="00A63F75" w:rsidP="00793B4F">
            <w:pPr>
              <w:pStyle w:val="NoSpacing"/>
              <w:jc w:val="center"/>
              <w:rPr>
                <w:rFonts w:cs="Arial"/>
                <w:b/>
                <w:sz w:val="28"/>
                <w:szCs w:val="24"/>
              </w:rPr>
            </w:pPr>
            <w:r w:rsidRPr="006816F8">
              <w:rPr>
                <w:rFonts w:cs="Arial"/>
                <w:b/>
                <w:sz w:val="28"/>
                <w:szCs w:val="24"/>
              </w:rPr>
              <w:t>DISTRICT PERFORMANCE MODULES</w:t>
            </w:r>
          </w:p>
        </w:tc>
      </w:tr>
      <w:tr w:rsidR="00A63F75" w:rsidTr="00793B4F">
        <w:trPr>
          <w:jc w:val="center"/>
        </w:trPr>
        <w:tc>
          <w:tcPr>
            <w:tcW w:w="1499" w:type="pct"/>
            <w:gridSpan w:val="2"/>
            <w:shd w:val="clear" w:color="auto" w:fill="F2F2F2" w:themeFill="background1" w:themeFillShade="F2"/>
            <w:vAlign w:val="center"/>
          </w:tcPr>
          <w:p w:rsidR="00A63F75" w:rsidRPr="00032781" w:rsidRDefault="00A63F75" w:rsidP="00793B4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Module</w:t>
            </w:r>
          </w:p>
        </w:tc>
        <w:tc>
          <w:tcPr>
            <w:tcW w:w="1585" w:type="pct"/>
            <w:vMerge w:val="restart"/>
            <w:shd w:val="clear" w:color="auto" w:fill="F2F2F2" w:themeFill="background1" w:themeFillShade="F2"/>
            <w:vAlign w:val="center"/>
          </w:tcPr>
          <w:p w:rsidR="00A63F75" w:rsidRPr="00032781" w:rsidRDefault="00A63F75" w:rsidP="00793B4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Content (Outline)</w:t>
            </w:r>
          </w:p>
        </w:tc>
        <w:tc>
          <w:tcPr>
            <w:tcW w:w="1916" w:type="pct"/>
            <w:gridSpan w:val="4"/>
            <w:shd w:val="clear" w:color="auto" w:fill="F2F2F2" w:themeFill="background1" w:themeFillShade="F2"/>
            <w:vAlign w:val="center"/>
          </w:tcPr>
          <w:p w:rsidR="00A63F75" w:rsidRPr="00032781" w:rsidRDefault="00A63F75" w:rsidP="00793B4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Please tick the modules that you would like to attend and when</w:t>
            </w:r>
          </w:p>
        </w:tc>
      </w:tr>
      <w:tr w:rsidR="00A63F75" w:rsidTr="00793B4F">
        <w:trPr>
          <w:jc w:val="center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:rsidR="00A63F75" w:rsidRPr="00032781" w:rsidRDefault="00A63F75" w:rsidP="00793B4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</w:t>
            </w:r>
          </w:p>
        </w:tc>
        <w:tc>
          <w:tcPr>
            <w:tcW w:w="1109" w:type="pct"/>
            <w:shd w:val="clear" w:color="auto" w:fill="F2F2F2" w:themeFill="background1" w:themeFillShade="F2"/>
            <w:vAlign w:val="center"/>
          </w:tcPr>
          <w:p w:rsidR="00A63F75" w:rsidRPr="00032781" w:rsidRDefault="00A63F75" w:rsidP="00793B4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1585" w:type="pct"/>
            <w:vMerge/>
            <w:shd w:val="clear" w:color="auto" w:fill="F2F2F2" w:themeFill="background1" w:themeFillShade="F2"/>
            <w:vAlign w:val="center"/>
          </w:tcPr>
          <w:p w:rsidR="00A63F75" w:rsidRPr="00032781" w:rsidRDefault="00A63F75" w:rsidP="00793B4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A63F75" w:rsidRPr="00032781" w:rsidRDefault="00A63F75" w:rsidP="00793B4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:rsidR="00A63F75" w:rsidRPr="00032781" w:rsidRDefault="00A63F75" w:rsidP="00793B4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Month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:rsidR="00A63F75" w:rsidRPr="00032781" w:rsidRDefault="00A63F75" w:rsidP="00793B4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Day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:rsidR="00A63F75" w:rsidRPr="00032781" w:rsidRDefault="00A63F75" w:rsidP="00793B4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Time</w:t>
            </w:r>
          </w:p>
        </w:tc>
      </w:tr>
      <w:tr w:rsidR="00A63F75" w:rsidTr="00793B4F">
        <w:trPr>
          <w:jc w:val="center"/>
        </w:trPr>
        <w:tc>
          <w:tcPr>
            <w:tcW w:w="390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109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Individual Development</w:t>
            </w:r>
          </w:p>
        </w:tc>
        <w:tc>
          <w:tcPr>
            <w:tcW w:w="1585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Covers skill acquisition, </w:t>
            </w:r>
            <w:r w:rsidR="006F5A4D">
              <w:rPr>
                <w:rFonts w:cs="Arial"/>
                <w:sz w:val="24"/>
                <w:szCs w:val="24"/>
              </w:rPr>
              <w:t xml:space="preserve">ghosting movements and </w:t>
            </w:r>
            <w:r>
              <w:rPr>
                <w:rFonts w:cs="Arial"/>
                <w:sz w:val="24"/>
                <w:szCs w:val="24"/>
              </w:rPr>
              <w:t>solo practice ideas for individuals.</w:t>
            </w:r>
          </w:p>
        </w:tc>
        <w:tc>
          <w:tcPr>
            <w:tcW w:w="178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63F75" w:rsidTr="00793B4F">
        <w:trPr>
          <w:jc w:val="center"/>
        </w:trPr>
        <w:tc>
          <w:tcPr>
            <w:tcW w:w="390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11a</w:t>
            </w:r>
          </w:p>
        </w:tc>
        <w:tc>
          <w:tcPr>
            <w:tcW w:w="1109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Individual Development</w:t>
            </w:r>
          </w:p>
        </w:tc>
        <w:tc>
          <w:tcPr>
            <w:tcW w:w="1585" w:type="pct"/>
            <w:vAlign w:val="center"/>
          </w:tcPr>
          <w:p w:rsidR="00A63F75" w:rsidRDefault="006F5A4D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</w:t>
            </w:r>
            <w:r>
              <w:rPr>
                <w:rFonts w:cs="Arial"/>
                <w:sz w:val="24"/>
                <w:szCs w:val="24"/>
              </w:rPr>
              <w:t xml:space="preserve"> decision making</w:t>
            </w:r>
            <w:r w:rsidR="00B834DB">
              <w:rPr>
                <w:rFonts w:cs="Arial"/>
                <w:sz w:val="24"/>
                <w:szCs w:val="24"/>
              </w:rPr>
              <w:t>, deception</w:t>
            </w:r>
            <w:r>
              <w:rPr>
                <w:rFonts w:cs="Arial"/>
                <w:sz w:val="24"/>
                <w:szCs w:val="24"/>
              </w:rPr>
              <w:t xml:space="preserve"> and coaching soft skills</w:t>
            </w:r>
            <w:r w:rsidR="00A63F75">
              <w:rPr>
                <w:rFonts w:cs="Arial"/>
                <w:sz w:val="24"/>
                <w:szCs w:val="24"/>
              </w:rPr>
              <w:t xml:space="preserve"> for individuals.</w:t>
            </w:r>
          </w:p>
        </w:tc>
        <w:tc>
          <w:tcPr>
            <w:tcW w:w="178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63F75" w:rsidTr="00793B4F">
        <w:trPr>
          <w:jc w:val="center"/>
        </w:trPr>
        <w:tc>
          <w:tcPr>
            <w:tcW w:w="390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109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Junior Boys and Girls</w:t>
            </w:r>
          </w:p>
        </w:tc>
        <w:tc>
          <w:tcPr>
            <w:tcW w:w="1585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Covers key differences and training requirements, </w:t>
            </w:r>
            <w:r w:rsidR="00B834DB">
              <w:rPr>
                <w:rFonts w:cs="Arial"/>
                <w:sz w:val="24"/>
                <w:szCs w:val="24"/>
              </w:rPr>
              <w:t xml:space="preserve">partnerships with parents, group culture, squad management and technique, movement and tactical awareness for junior boys and </w:t>
            </w:r>
            <w:r w:rsidR="006B3295">
              <w:rPr>
                <w:rFonts w:cs="Arial"/>
                <w:sz w:val="24"/>
                <w:szCs w:val="24"/>
              </w:rPr>
              <w:t>girls’</w:t>
            </w:r>
            <w:bookmarkStart w:id="0" w:name="_GoBack"/>
            <w:bookmarkEnd w:id="0"/>
            <w:r w:rsidR="00B834DB">
              <w:rPr>
                <w:rFonts w:cs="Arial"/>
                <w:sz w:val="24"/>
                <w:szCs w:val="24"/>
              </w:rPr>
              <w:t xml:space="preserve"> squads.</w:t>
            </w:r>
          </w:p>
        </w:tc>
        <w:tc>
          <w:tcPr>
            <w:tcW w:w="178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63F75" w:rsidTr="00793B4F">
        <w:trPr>
          <w:jc w:val="center"/>
        </w:trPr>
        <w:tc>
          <w:tcPr>
            <w:tcW w:w="390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12a</w:t>
            </w:r>
          </w:p>
        </w:tc>
        <w:tc>
          <w:tcPr>
            <w:tcW w:w="1109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Junior Boys and Girls</w:t>
            </w:r>
          </w:p>
        </w:tc>
        <w:tc>
          <w:tcPr>
            <w:tcW w:w="1585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</w:t>
            </w:r>
            <w:r w:rsidR="00B834DB">
              <w:rPr>
                <w:rFonts w:cs="Arial"/>
                <w:sz w:val="24"/>
                <w:szCs w:val="24"/>
              </w:rPr>
              <w:t xml:space="preserve"> talent identification characteristics, process mindsets, strength and conditioning requirements, competition preparation and supplements use</w:t>
            </w:r>
            <w:r>
              <w:rPr>
                <w:rFonts w:cs="Arial"/>
                <w:sz w:val="24"/>
                <w:szCs w:val="24"/>
              </w:rPr>
              <w:t xml:space="preserve"> for junior boys and girls.</w:t>
            </w:r>
          </w:p>
        </w:tc>
        <w:tc>
          <w:tcPr>
            <w:tcW w:w="178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63F75" w:rsidTr="00793B4F">
        <w:trPr>
          <w:jc w:val="center"/>
        </w:trPr>
        <w:tc>
          <w:tcPr>
            <w:tcW w:w="390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109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Senior Men and Women</w:t>
            </w:r>
          </w:p>
        </w:tc>
        <w:tc>
          <w:tcPr>
            <w:tcW w:w="1585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Covers key differences and training requirements for senior men and women, </w:t>
            </w:r>
            <w:r w:rsidR="00B834DB">
              <w:rPr>
                <w:rFonts w:cs="Arial"/>
                <w:sz w:val="24"/>
                <w:szCs w:val="24"/>
              </w:rPr>
              <w:t xml:space="preserve">squad structures, group management, </w:t>
            </w:r>
            <w:r w:rsidR="00B834DB">
              <w:rPr>
                <w:rFonts w:cs="Arial"/>
                <w:sz w:val="24"/>
                <w:szCs w:val="24"/>
              </w:rPr>
              <w:t>technique, movement and tactical awareness</w:t>
            </w:r>
            <w:r w:rsidR="00B834DB">
              <w:rPr>
                <w:rFonts w:cs="Arial"/>
                <w:sz w:val="24"/>
                <w:szCs w:val="24"/>
              </w:rPr>
              <w:t>, strength and conditioning and alcohol use for senior men and women.</w:t>
            </w:r>
          </w:p>
        </w:tc>
        <w:tc>
          <w:tcPr>
            <w:tcW w:w="178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A63F75" w:rsidRDefault="00A63F75" w:rsidP="00793B4F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RPr="0038494A" w:rsidTr="006C2528">
        <w:trPr>
          <w:jc w:val="center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:rsidR="00E77325" w:rsidRPr="0038494A" w:rsidRDefault="00E77325" w:rsidP="00E77325">
            <w:pPr>
              <w:pStyle w:val="NoSpacing"/>
              <w:jc w:val="center"/>
              <w:rPr>
                <w:rFonts w:cs="Arial"/>
                <w:b/>
                <w:sz w:val="28"/>
                <w:szCs w:val="24"/>
              </w:rPr>
            </w:pPr>
            <w:r w:rsidRPr="0038494A">
              <w:rPr>
                <w:rFonts w:cs="Arial"/>
                <w:b/>
                <w:sz w:val="28"/>
                <w:szCs w:val="24"/>
              </w:rPr>
              <w:t>EXTENSION MODULES</w:t>
            </w:r>
          </w:p>
        </w:tc>
      </w:tr>
      <w:tr w:rsidR="00E77325" w:rsidTr="00B84E1E">
        <w:trPr>
          <w:jc w:val="center"/>
        </w:trPr>
        <w:tc>
          <w:tcPr>
            <w:tcW w:w="1499" w:type="pct"/>
            <w:gridSpan w:val="2"/>
            <w:shd w:val="clear" w:color="auto" w:fill="F2F2F2" w:themeFill="background1" w:themeFillShade="F2"/>
            <w:vAlign w:val="center"/>
          </w:tcPr>
          <w:p w:rsidR="00E77325" w:rsidRPr="00032781" w:rsidRDefault="00E77325" w:rsidP="00E77325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Module</w:t>
            </w:r>
          </w:p>
        </w:tc>
        <w:tc>
          <w:tcPr>
            <w:tcW w:w="1585" w:type="pct"/>
            <w:vMerge w:val="restart"/>
            <w:shd w:val="clear" w:color="auto" w:fill="F2F2F2" w:themeFill="background1" w:themeFillShade="F2"/>
            <w:vAlign w:val="center"/>
          </w:tcPr>
          <w:p w:rsidR="00E77325" w:rsidRPr="00032781" w:rsidRDefault="00E77325" w:rsidP="00E77325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Content (Outline)</w:t>
            </w:r>
          </w:p>
        </w:tc>
        <w:tc>
          <w:tcPr>
            <w:tcW w:w="1916" w:type="pct"/>
            <w:gridSpan w:val="4"/>
            <w:shd w:val="clear" w:color="auto" w:fill="F2F2F2" w:themeFill="background1" w:themeFillShade="F2"/>
            <w:vAlign w:val="center"/>
          </w:tcPr>
          <w:p w:rsidR="00E77325" w:rsidRPr="00032781" w:rsidRDefault="00E77325" w:rsidP="00E77325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Please tick the modules that you would like to attend and when</w:t>
            </w:r>
          </w:p>
        </w:tc>
      </w:tr>
      <w:tr w:rsidR="00E77325" w:rsidTr="00B84E1E">
        <w:trPr>
          <w:jc w:val="center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:rsidR="00E77325" w:rsidRPr="00032781" w:rsidRDefault="00E77325" w:rsidP="00E77325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</w:t>
            </w:r>
          </w:p>
        </w:tc>
        <w:tc>
          <w:tcPr>
            <w:tcW w:w="1109" w:type="pct"/>
            <w:shd w:val="clear" w:color="auto" w:fill="F2F2F2" w:themeFill="background1" w:themeFillShade="F2"/>
            <w:vAlign w:val="center"/>
          </w:tcPr>
          <w:p w:rsidR="00E77325" w:rsidRPr="00032781" w:rsidRDefault="00E77325" w:rsidP="00E77325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1585" w:type="pct"/>
            <w:vMerge/>
            <w:shd w:val="clear" w:color="auto" w:fill="F2F2F2" w:themeFill="background1" w:themeFillShade="F2"/>
            <w:vAlign w:val="center"/>
          </w:tcPr>
          <w:p w:rsidR="00E77325" w:rsidRPr="00032781" w:rsidRDefault="00E77325" w:rsidP="00E77325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F2F2F2" w:themeFill="background1" w:themeFillShade="F2"/>
            <w:vAlign w:val="center"/>
          </w:tcPr>
          <w:p w:rsidR="00E77325" w:rsidRPr="00032781" w:rsidRDefault="00E77325" w:rsidP="00E77325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:rsidR="00E77325" w:rsidRPr="00032781" w:rsidRDefault="00E77325" w:rsidP="00E77325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Month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:rsidR="00E77325" w:rsidRPr="00032781" w:rsidRDefault="00E77325" w:rsidP="00E77325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Day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:rsidR="00E77325" w:rsidRPr="00032781" w:rsidRDefault="00E77325" w:rsidP="00E77325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032781">
              <w:rPr>
                <w:rFonts w:cs="Arial"/>
                <w:b/>
                <w:sz w:val="24"/>
                <w:szCs w:val="24"/>
              </w:rPr>
              <w:t>Time</w:t>
            </w:r>
          </w:p>
        </w:tc>
      </w:tr>
      <w:tr w:rsidR="00E77325" w:rsidTr="00B84E1E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E2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to Coach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questioning skills, learning styles, the use of games and approaches to coaching.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B84E1E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E3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Managing the Mind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mental skills training, ways to focus, dealing with stress, setting goals, managing plans and debriefing.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B84E1E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E4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Athletic Development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Covers growth and maturation, developing athleticism, improving quality of technique and other important training considerations. 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B84E1E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E5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Programme Management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programme scheduling, measuring and analysis, people management, budgeting, record keeping, risk management and promotional ideas.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B84E1E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E6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Club Coaching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business planning, communication, contracts and employment, remuneration, safeguarding, health and safety and pro shops.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B84E1E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E7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Squash Leadership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the role of a leader, qualities of leaders, styles of leadership, followership, empowering others, building culture and managing conflict.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B84E1E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E8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Hydration &amp; Nutrition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Covers hydration and nutrition requirements for squash players, looks at key nutrients, effects on performance, travel issues and common conditions. 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B84E1E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E9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Sports Injury Management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warming up and cooling down, injury reports, basic anatomy, blood and injuries and dealing with injuries.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B84E1E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E10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Conditioning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training principles and variables, fitness components, annual planning, developing training sessions and testing procedures.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B84E1E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E12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Identification &amp; Selection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the difference between identification, development and selection, factors affecting the concept of talent, selection panels, selection policies and other processes.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77325" w:rsidTr="00B84E1E">
        <w:trPr>
          <w:jc w:val="center"/>
        </w:trPr>
        <w:tc>
          <w:tcPr>
            <w:tcW w:w="39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E13</w:t>
            </w:r>
          </w:p>
        </w:tc>
        <w:tc>
          <w:tcPr>
            <w:tcW w:w="1109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Technology</w:t>
            </w:r>
          </w:p>
        </w:tc>
        <w:tc>
          <w:tcPr>
            <w:tcW w:w="158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Covers the use of social media, applications to develop athletes, performance analysis, useful equipment and filming and reflective tools.</w:t>
            </w:r>
          </w:p>
        </w:tc>
        <w:tc>
          <w:tcPr>
            <w:tcW w:w="178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E77325" w:rsidRDefault="00E77325" w:rsidP="00E77325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891DBD" w:rsidRDefault="00891DBD" w:rsidP="00032781">
      <w:pPr>
        <w:pStyle w:val="NoSpacing"/>
        <w:rPr>
          <w:rFonts w:cs="Arial"/>
          <w:sz w:val="24"/>
          <w:szCs w:val="24"/>
        </w:rPr>
      </w:pPr>
    </w:p>
    <w:p w:rsidR="006E267B" w:rsidRDefault="002B44E3" w:rsidP="00B809EB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Once completed, return to your</w:t>
      </w:r>
      <w:r w:rsidR="00BC0E3D">
        <w:rPr>
          <w:rFonts w:cs="Arial"/>
          <w:sz w:val="24"/>
          <w:szCs w:val="24"/>
        </w:rPr>
        <w:t xml:space="preserve"> Regional </w:t>
      </w:r>
      <w:hyperlink r:id="rId10" w:history="1">
        <w:r w:rsidR="006E267B" w:rsidRPr="00F943AC">
          <w:rPr>
            <w:rStyle w:val="Hyperlink"/>
            <w:rFonts w:cs="Arial"/>
            <w:sz w:val="24"/>
            <w:szCs w:val="24"/>
          </w:rPr>
          <w:t>CoachForce</w:t>
        </w:r>
      </w:hyperlink>
      <w:r w:rsidR="006E267B">
        <w:rPr>
          <w:rFonts w:cs="Arial"/>
          <w:sz w:val="24"/>
          <w:szCs w:val="24"/>
        </w:rPr>
        <w:t xml:space="preserve"> Officer</w:t>
      </w:r>
      <w:r w:rsidR="00F943AC">
        <w:rPr>
          <w:rFonts w:cs="Arial"/>
          <w:sz w:val="24"/>
          <w:szCs w:val="24"/>
        </w:rPr>
        <w:t xml:space="preserve"> </w:t>
      </w:r>
      <w:r w:rsidR="0057683F">
        <w:rPr>
          <w:rFonts w:cs="Arial"/>
          <w:sz w:val="24"/>
          <w:szCs w:val="24"/>
        </w:rPr>
        <w:t xml:space="preserve">or </w:t>
      </w:r>
      <w:hyperlink r:id="rId11" w:history="1">
        <w:r w:rsidR="0057683F" w:rsidRPr="00F943AC">
          <w:rPr>
            <w:rStyle w:val="Hyperlink"/>
            <w:rFonts w:cs="Arial"/>
            <w:sz w:val="24"/>
            <w:szCs w:val="24"/>
          </w:rPr>
          <w:t>District</w:t>
        </w:r>
      </w:hyperlink>
      <w:r w:rsidR="0057683F">
        <w:rPr>
          <w:rFonts w:cs="Arial"/>
          <w:sz w:val="24"/>
          <w:szCs w:val="24"/>
        </w:rPr>
        <w:t xml:space="preserve"> Administrator</w:t>
      </w:r>
    </w:p>
    <w:p w:rsidR="00B809EB" w:rsidRDefault="00B809EB" w:rsidP="00B809EB">
      <w:pPr>
        <w:pStyle w:val="NoSpacing"/>
        <w:rPr>
          <w:rFonts w:cs="Arial"/>
          <w:sz w:val="24"/>
          <w:szCs w:val="24"/>
        </w:rPr>
      </w:pPr>
    </w:p>
    <w:p w:rsidR="00B809EB" w:rsidRPr="00B809EB" w:rsidRDefault="00B809EB" w:rsidP="00B809EB">
      <w:pPr>
        <w:pStyle w:val="NoSpacing"/>
        <w:rPr>
          <w:rFonts w:cs="Arial"/>
          <w:b/>
          <w:sz w:val="24"/>
          <w:szCs w:val="24"/>
        </w:rPr>
      </w:pPr>
      <w:r w:rsidRPr="00B809EB">
        <w:rPr>
          <w:rFonts w:cs="Arial"/>
          <w:b/>
          <w:sz w:val="24"/>
          <w:szCs w:val="24"/>
        </w:rPr>
        <w:t>Name:</w:t>
      </w:r>
    </w:p>
    <w:p w:rsidR="00B809EB" w:rsidRPr="00B809EB" w:rsidRDefault="00B809EB" w:rsidP="00B809EB">
      <w:pPr>
        <w:pStyle w:val="NoSpacing"/>
        <w:rPr>
          <w:rFonts w:cs="Arial"/>
          <w:b/>
          <w:sz w:val="24"/>
          <w:szCs w:val="24"/>
        </w:rPr>
      </w:pPr>
    </w:p>
    <w:p w:rsidR="00B809EB" w:rsidRPr="00B809EB" w:rsidRDefault="00B809EB" w:rsidP="00B809EB">
      <w:pPr>
        <w:pStyle w:val="NoSpacing"/>
        <w:rPr>
          <w:rFonts w:cs="Arial"/>
          <w:b/>
          <w:sz w:val="24"/>
          <w:szCs w:val="24"/>
        </w:rPr>
      </w:pPr>
      <w:r w:rsidRPr="00B809EB">
        <w:rPr>
          <w:rFonts w:cs="Arial"/>
          <w:b/>
          <w:sz w:val="24"/>
          <w:szCs w:val="24"/>
        </w:rPr>
        <w:t>Email:</w:t>
      </w:r>
    </w:p>
    <w:p w:rsidR="00B809EB" w:rsidRPr="00B809EB" w:rsidRDefault="00B809EB" w:rsidP="00B809EB">
      <w:pPr>
        <w:pStyle w:val="NoSpacing"/>
        <w:rPr>
          <w:rFonts w:cs="Arial"/>
          <w:b/>
          <w:sz w:val="24"/>
          <w:szCs w:val="24"/>
        </w:rPr>
      </w:pPr>
    </w:p>
    <w:p w:rsidR="00B809EB" w:rsidRPr="00B809EB" w:rsidRDefault="00B809EB" w:rsidP="00B809EB">
      <w:pPr>
        <w:pStyle w:val="NoSpacing"/>
        <w:rPr>
          <w:rFonts w:cs="Arial"/>
          <w:b/>
          <w:sz w:val="24"/>
          <w:szCs w:val="24"/>
        </w:rPr>
      </w:pPr>
      <w:r w:rsidRPr="00B809EB">
        <w:rPr>
          <w:rFonts w:cs="Arial"/>
          <w:b/>
          <w:sz w:val="24"/>
          <w:szCs w:val="24"/>
        </w:rPr>
        <w:t>Phone:</w:t>
      </w:r>
    </w:p>
    <w:p w:rsidR="00B809EB" w:rsidRDefault="00B809EB" w:rsidP="00B809EB">
      <w:pPr>
        <w:pStyle w:val="NoSpacing"/>
        <w:rPr>
          <w:rFonts w:cs="Arial"/>
          <w:sz w:val="24"/>
          <w:szCs w:val="24"/>
        </w:rPr>
      </w:pPr>
    </w:p>
    <w:p w:rsidR="002B44E3" w:rsidRPr="0057683F" w:rsidRDefault="00DC759E" w:rsidP="00F943AC">
      <w:pPr>
        <w:pStyle w:val="NoSpacing"/>
        <w:rPr>
          <w:sz w:val="24"/>
          <w:szCs w:val="24"/>
        </w:rPr>
      </w:pPr>
      <w:r w:rsidRPr="0057683F">
        <w:rPr>
          <w:rFonts w:cs="Arial"/>
          <w:sz w:val="24"/>
          <w:szCs w:val="24"/>
        </w:rPr>
        <w:t>F</w:t>
      </w:r>
      <w:r w:rsidR="002B44E3" w:rsidRPr="0057683F">
        <w:rPr>
          <w:rFonts w:cs="Arial"/>
          <w:sz w:val="24"/>
          <w:szCs w:val="24"/>
        </w:rPr>
        <w:t xml:space="preserve">or more information on the available modules, please </w:t>
      </w:r>
      <w:hyperlink r:id="rId12" w:history="1">
        <w:r w:rsidR="00F943AC" w:rsidRPr="00F943AC">
          <w:rPr>
            <w:rStyle w:val="Hyperlink"/>
            <w:rFonts w:cs="Arial"/>
            <w:sz w:val="24"/>
            <w:szCs w:val="24"/>
          </w:rPr>
          <w:t>click here</w:t>
        </w:r>
      </w:hyperlink>
    </w:p>
    <w:p w:rsidR="0057683F" w:rsidRDefault="0057683F" w:rsidP="00B809EB">
      <w:pPr>
        <w:pStyle w:val="NoSpacing"/>
        <w:rPr>
          <w:rFonts w:cs="Arial"/>
          <w:sz w:val="24"/>
          <w:szCs w:val="24"/>
        </w:rPr>
      </w:pPr>
    </w:p>
    <w:sectPr w:rsidR="0057683F" w:rsidSect="00032781">
      <w:footerReference w:type="default" r:id="rId13"/>
      <w:pgSz w:w="16838" w:h="11906" w:orient="landscape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01" w:rsidRDefault="008E0801" w:rsidP="008E0801">
      <w:pPr>
        <w:spacing w:after="0" w:line="240" w:lineRule="auto"/>
      </w:pPr>
      <w:r>
        <w:separator/>
      </w:r>
    </w:p>
  </w:endnote>
  <w:endnote w:type="continuationSeparator" w:id="0">
    <w:p w:rsidR="008E0801" w:rsidRDefault="008E0801" w:rsidP="008E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01" w:rsidRPr="00D969B7" w:rsidRDefault="006B3295" w:rsidP="008E0801">
    <w:pPr>
      <w:pStyle w:val="Footer"/>
      <w:jc w:val="right"/>
      <w:rPr>
        <w:sz w:val="20"/>
      </w:rPr>
    </w:pPr>
    <w:r>
      <w:rPr>
        <w:sz w:val="20"/>
      </w:rPr>
      <w:pict>
        <v:rect id="_x0000_i1025" style="width:0;height:1.5pt" o:hralign="center" o:hrstd="t" o:hr="t" fillcolor="#a0a0a0" stroked="f"/>
      </w:pict>
    </w:r>
  </w:p>
  <w:p w:rsidR="00D53E58" w:rsidRPr="00D969B7" w:rsidRDefault="00D53E58" w:rsidP="008E0801">
    <w:pPr>
      <w:pStyle w:val="Footer"/>
      <w:rPr>
        <w:sz w:val="20"/>
      </w:rPr>
    </w:pPr>
  </w:p>
  <w:p w:rsidR="008E0801" w:rsidRPr="00D969B7" w:rsidRDefault="00623801" w:rsidP="008E0801">
    <w:pPr>
      <w:pStyle w:val="Footer"/>
      <w:rPr>
        <w:sz w:val="20"/>
      </w:rPr>
    </w:pPr>
    <w:r>
      <w:rPr>
        <w:sz w:val="20"/>
      </w:rPr>
      <w:t>Club Questionnaire</w:t>
    </w:r>
    <w:r w:rsidR="008E0801" w:rsidRPr="00D969B7">
      <w:rPr>
        <w:sz w:val="20"/>
      </w:rPr>
      <w:t xml:space="preserve"> | </w:t>
    </w:r>
    <w:r w:rsidR="00B03808" w:rsidRPr="00D969B7">
      <w:rPr>
        <w:sz w:val="20"/>
      </w:rPr>
      <w:t xml:space="preserve">Squash </w:t>
    </w:r>
    <w:r w:rsidR="008E0801" w:rsidRPr="00D969B7">
      <w:rPr>
        <w:sz w:val="20"/>
      </w:rPr>
      <w:t>New Zeala</w:t>
    </w:r>
    <w:r w:rsidR="00D53E58" w:rsidRPr="00D969B7">
      <w:rPr>
        <w:sz w:val="20"/>
      </w:rPr>
      <w:t xml:space="preserve">nd CoachForce </w:t>
    </w:r>
    <w:r>
      <w:rPr>
        <w:sz w:val="20"/>
      </w:rPr>
      <w:t>Programme</w:t>
    </w:r>
    <w:r w:rsidR="00D53E58" w:rsidRPr="00D969B7">
      <w:rPr>
        <w:sz w:val="20"/>
      </w:rPr>
      <w:tab/>
    </w:r>
    <w:r w:rsidR="00D53E58" w:rsidRPr="00D969B7">
      <w:rPr>
        <w:sz w:val="20"/>
      </w:rPr>
      <w:tab/>
    </w:r>
    <w:r w:rsidR="00032781">
      <w:rPr>
        <w:sz w:val="20"/>
      </w:rPr>
      <w:tab/>
    </w:r>
    <w:r w:rsidR="00032781">
      <w:rPr>
        <w:sz w:val="20"/>
      </w:rPr>
      <w:tab/>
    </w:r>
    <w:r w:rsidR="00032781">
      <w:rPr>
        <w:sz w:val="20"/>
      </w:rPr>
      <w:tab/>
    </w:r>
    <w:r w:rsidR="00032781">
      <w:rPr>
        <w:sz w:val="20"/>
      </w:rPr>
      <w:tab/>
    </w:r>
    <w:r w:rsidR="00032781">
      <w:rPr>
        <w:sz w:val="20"/>
      </w:rPr>
      <w:tab/>
    </w:r>
    <w:r w:rsidR="00032781">
      <w:rPr>
        <w:sz w:val="20"/>
      </w:rPr>
      <w:tab/>
    </w:r>
    <w:r w:rsidR="00032781">
      <w:rPr>
        <w:sz w:val="20"/>
      </w:rPr>
      <w:tab/>
    </w:r>
    <w:r w:rsidR="008E0801" w:rsidRPr="00D969B7">
      <w:rPr>
        <w:sz w:val="20"/>
      </w:rPr>
      <w:t xml:space="preserve">Page </w:t>
    </w:r>
    <w:sdt>
      <w:sdtPr>
        <w:rPr>
          <w:sz w:val="20"/>
        </w:rPr>
        <w:id w:val="-7515099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E0801" w:rsidRPr="00D969B7">
          <w:rPr>
            <w:sz w:val="20"/>
          </w:rPr>
          <w:fldChar w:fldCharType="begin"/>
        </w:r>
        <w:r w:rsidR="008E0801" w:rsidRPr="00D969B7">
          <w:rPr>
            <w:sz w:val="20"/>
          </w:rPr>
          <w:instrText xml:space="preserve"> PAGE   \* MERGEFORMAT </w:instrText>
        </w:r>
        <w:r w:rsidR="008E0801" w:rsidRPr="00D969B7">
          <w:rPr>
            <w:sz w:val="20"/>
          </w:rPr>
          <w:fldChar w:fldCharType="separate"/>
        </w:r>
        <w:r w:rsidR="006B3295">
          <w:rPr>
            <w:noProof/>
            <w:sz w:val="20"/>
          </w:rPr>
          <w:t>4</w:t>
        </w:r>
        <w:r w:rsidR="008E0801" w:rsidRPr="00D969B7">
          <w:rPr>
            <w:noProof/>
            <w:sz w:val="20"/>
          </w:rPr>
          <w:fldChar w:fldCharType="end"/>
        </w:r>
      </w:sdtContent>
    </w:sdt>
    <w:r w:rsidR="00A63F75">
      <w:rPr>
        <w:noProof/>
        <w:sz w:val="20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01" w:rsidRDefault="008E0801" w:rsidP="008E0801">
      <w:pPr>
        <w:spacing w:after="0" w:line="240" w:lineRule="auto"/>
      </w:pPr>
      <w:r>
        <w:separator/>
      </w:r>
    </w:p>
  </w:footnote>
  <w:footnote w:type="continuationSeparator" w:id="0">
    <w:p w:rsidR="008E0801" w:rsidRDefault="008E0801" w:rsidP="008E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297"/>
    <w:multiLevelType w:val="hybridMultilevel"/>
    <w:tmpl w:val="DEA4C4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B6B"/>
    <w:multiLevelType w:val="hybridMultilevel"/>
    <w:tmpl w:val="2BA02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4245"/>
    <w:multiLevelType w:val="hybridMultilevel"/>
    <w:tmpl w:val="7E54C61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3482"/>
    <w:multiLevelType w:val="hybridMultilevel"/>
    <w:tmpl w:val="405C8C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4066"/>
    <w:multiLevelType w:val="hybridMultilevel"/>
    <w:tmpl w:val="0E7E4BF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5CCA"/>
    <w:multiLevelType w:val="hybridMultilevel"/>
    <w:tmpl w:val="03E490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C25D3"/>
    <w:multiLevelType w:val="hybridMultilevel"/>
    <w:tmpl w:val="2EDABB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85079"/>
    <w:multiLevelType w:val="hybridMultilevel"/>
    <w:tmpl w:val="F1E481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62013"/>
    <w:multiLevelType w:val="hybridMultilevel"/>
    <w:tmpl w:val="875EBF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D0A88"/>
    <w:multiLevelType w:val="hybridMultilevel"/>
    <w:tmpl w:val="688A0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82"/>
    <w:rsid w:val="00032781"/>
    <w:rsid w:val="000356A3"/>
    <w:rsid w:val="00066DB7"/>
    <w:rsid w:val="0006710A"/>
    <w:rsid w:val="00084CCA"/>
    <w:rsid w:val="000A2835"/>
    <w:rsid w:val="000A4589"/>
    <w:rsid w:val="000A7BF7"/>
    <w:rsid w:val="000D3C33"/>
    <w:rsid w:val="000D61C9"/>
    <w:rsid w:val="001239C1"/>
    <w:rsid w:val="00123DC4"/>
    <w:rsid w:val="00125CD0"/>
    <w:rsid w:val="00131392"/>
    <w:rsid w:val="00181A48"/>
    <w:rsid w:val="001B01B6"/>
    <w:rsid w:val="001E3294"/>
    <w:rsid w:val="00203A37"/>
    <w:rsid w:val="00204BBE"/>
    <w:rsid w:val="00206AAD"/>
    <w:rsid w:val="00265A4E"/>
    <w:rsid w:val="0029360A"/>
    <w:rsid w:val="002B44E3"/>
    <w:rsid w:val="002B6ACE"/>
    <w:rsid w:val="002C068F"/>
    <w:rsid w:val="002D57C7"/>
    <w:rsid w:val="002E0F92"/>
    <w:rsid w:val="002F3DB4"/>
    <w:rsid w:val="003104FA"/>
    <w:rsid w:val="00321AFF"/>
    <w:rsid w:val="00346B59"/>
    <w:rsid w:val="0038494A"/>
    <w:rsid w:val="0039116A"/>
    <w:rsid w:val="003C2AB6"/>
    <w:rsid w:val="003D6A10"/>
    <w:rsid w:val="003E7BA7"/>
    <w:rsid w:val="003F594B"/>
    <w:rsid w:val="00402D82"/>
    <w:rsid w:val="004330DA"/>
    <w:rsid w:val="004775F0"/>
    <w:rsid w:val="0049560C"/>
    <w:rsid w:val="004A6598"/>
    <w:rsid w:val="004A68B5"/>
    <w:rsid w:val="004E0AA4"/>
    <w:rsid w:val="004E31AD"/>
    <w:rsid w:val="0050134C"/>
    <w:rsid w:val="00503EE7"/>
    <w:rsid w:val="00570F97"/>
    <w:rsid w:val="0057599A"/>
    <w:rsid w:val="0057683F"/>
    <w:rsid w:val="005B6276"/>
    <w:rsid w:val="005B7D14"/>
    <w:rsid w:val="005E24AA"/>
    <w:rsid w:val="005E30DC"/>
    <w:rsid w:val="005E63C6"/>
    <w:rsid w:val="005F56F6"/>
    <w:rsid w:val="0060267A"/>
    <w:rsid w:val="00605E97"/>
    <w:rsid w:val="006075E4"/>
    <w:rsid w:val="00614E4E"/>
    <w:rsid w:val="00617790"/>
    <w:rsid w:val="00623801"/>
    <w:rsid w:val="00642754"/>
    <w:rsid w:val="0065174E"/>
    <w:rsid w:val="00655043"/>
    <w:rsid w:val="00660F4B"/>
    <w:rsid w:val="0066238E"/>
    <w:rsid w:val="0066526F"/>
    <w:rsid w:val="006A2349"/>
    <w:rsid w:val="006B3295"/>
    <w:rsid w:val="006C2528"/>
    <w:rsid w:val="006E267B"/>
    <w:rsid w:val="006F5A4D"/>
    <w:rsid w:val="007000F9"/>
    <w:rsid w:val="00740754"/>
    <w:rsid w:val="00751B64"/>
    <w:rsid w:val="0076245C"/>
    <w:rsid w:val="00781A22"/>
    <w:rsid w:val="00784F82"/>
    <w:rsid w:val="00786EF7"/>
    <w:rsid w:val="007F71E5"/>
    <w:rsid w:val="00812609"/>
    <w:rsid w:val="00814B08"/>
    <w:rsid w:val="00830934"/>
    <w:rsid w:val="00887D41"/>
    <w:rsid w:val="00891DBD"/>
    <w:rsid w:val="00896FD7"/>
    <w:rsid w:val="008C2BFF"/>
    <w:rsid w:val="008E0801"/>
    <w:rsid w:val="008F1360"/>
    <w:rsid w:val="0090250D"/>
    <w:rsid w:val="009443FB"/>
    <w:rsid w:val="00946A77"/>
    <w:rsid w:val="00957AFA"/>
    <w:rsid w:val="0096388D"/>
    <w:rsid w:val="00974F14"/>
    <w:rsid w:val="009815FC"/>
    <w:rsid w:val="00992C8D"/>
    <w:rsid w:val="009C6B00"/>
    <w:rsid w:val="009E22A0"/>
    <w:rsid w:val="009F1F34"/>
    <w:rsid w:val="00A06AAA"/>
    <w:rsid w:val="00A11289"/>
    <w:rsid w:val="00A55933"/>
    <w:rsid w:val="00A63F75"/>
    <w:rsid w:val="00A70A47"/>
    <w:rsid w:val="00A725F1"/>
    <w:rsid w:val="00A845B2"/>
    <w:rsid w:val="00AA1542"/>
    <w:rsid w:val="00AC24DF"/>
    <w:rsid w:val="00AF10CB"/>
    <w:rsid w:val="00AF663B"/>
    <w:rsid w:val="00B03808"/>
    <w:rsid w:val="00B10108"/>
    <w:rsid w:val="00B32D25"/>
    <w:rsid w:val="00B55E8A"/>
    <w:rsid w:val="00B5692B"/>
    <w:rsid w:val="00B722C3"/>
    <w:rsid w:val="00B7315B"/>
    <w:rsid w:val="00B809EB"/>
    <w:rsid w:val="00B834DB"/>
    <w:rsid w:val="00BB3320"/>
    <w:rsid w:val="00BC0E3D"/>
    <w:rsid w:val="00BC42EA"/>
    <w:rsid w:val="00C237D2"/>
    <w:rsid w:val="00C3061F"/>
    <w:rsid w:val="00C660E6"/>
    <w:rsid w:val="00C7276E"/>
    <w:rsid w:val="00CB2224"/>
    <w:rsid w:val="00CB3EE0"/>
    <w:rsid w:val="00CD591E"/>
    <w:rsid w:val="00CF6F68"/>
    <w:rsid w:val="00D04C48"/>
    <w:rsid w:val="00D21127"/>
    <w:rsid w:val="00D2716A"/>
    <w:rsid w:val="00D331C7"/>
    <w:rsid w:val="00D4079E"/>
    <w:rsid w:val="00D5048D"/>
    <w:rsid w:val="00D53E58"/>
    <w:rsid w:val="00D82169"/>
    <w:rsid w:val="00D8580A"/>
    <w:rsid w:val="00D90D93"/>
    <w:rsid w:val="00D91820"/>
    <w:rsid w:val="00D969B7"/>
    <w:rsid w:val="00DB75BD"/>
    <w:rsid w:val="00DC1572"/>
    <w:rsid w:val="00DC759E"/>
    <w:rsid w:val="00DE62E7"/>
    <w:rsid w:val="00E02CC5"/>
    <w:rsid w:val="00E21AF7"/>
    <w:rsid w:val="00E53218"/>
    <w:rsid w:val="00E63AE7"/>
    <w:rsid w:val="00E747C2"/>
    <w:rsid w:val="00E77325"/>
    <w:rsid w:val="00E81904"/>
    <w:rsid w:val="00E93CDD"/>
    <w:rsid w:val="00F0276E"/>
    <w:rsid w:val="00F06208"/>
    <w:rsid w:val="00F25078"/>
    <w:rsid w:val="00F35F29"/>
    <w:rsid w:val="00F62D57"/>
    <w:rsid w:val="00F7306F"/>
    <w:rsid w:val="00F74868"/>
    <w:rsid w:val="00F943AC"/>
    <w:rsid w:val="00FB4BC9"/>
    <w:rsid w:val="00FC0C66"/>
    <w:rsid w:val="00FC6D35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  <w14:docId w14:val="69E30BB8"/>
  <w15:chartTrackingRefBased/>
  <w15:docId w15:val="{868946CF-614F-4EB3-8500-AA34A63E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63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4F8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F1F34"/>
  </w:style>
  <w:style w:type="table" w:styleId="TableGrid">
    <w:name w:val="Table Grid"/>
    <w:basedOn w:val="TableNormal"/>
    <w:uiPriority w:val="59"/>
    <w:rsid w:val="009F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11289"/>
  </w:style>
  <w:style w:type="character" w:styleId="SubtleEmphasis">
    <w:name w:val="Subtle Emphasis"/>
    <w:basedOn w:val="DefaultParagraphFont"/>
    <w:uiPriority w:val="99"/>
    <w:qFormat/>
    <w:rsid w:val="00605E97"/>
    <w:rPr>
      <w:rFonts w:cs="Times New Roman"/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0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801"/>
  </w:style>
  <w:style w:type="paragraph" w:styleId="Footer">
    <w:name w:val="footer"/>
    <w:basedOn w:val="Normal"/>
    <w:link w:val="FooterChar"/>
    <w:uiPriority w:val="99"/>
    <w:unhideWhenUsed/>
    <w:rsid w:val="008E0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01"/>
  </w:style>
  <w:style w:type="character" w:styleId="Hyperlink">
    <w:name w:val="Hyperlink"/>
    <w:uiPriority w:val="99"/>
    <w:rsid w:val="00D969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quashnz.nzinternet.co.nz/coach/development/index.cf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quashnz.nzinternet.co.nz/about/districts.cf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squashnz.nzinternet.co.nz/coach/development/coachforce.cf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8F690AC8BB7468305AC646B71B9B6" ma:contentTypeVersion="5" ma:contentTypeDescription="Create a new document." ma:contentTypeScope="" ma:versionID="492f85125efb20d103b3123618f01457">
  <xsd:schema xmlns:xsd="http://www.w3.org/2001/XMLSchema" xmlns:xs="http://www.w3.org/2001/XMLSchema" xmlns:p="http://schemas.microsoft.com/office/2006/metadata/properties" xmlns:ns2="e50f17db-5791-4c76-be70-9786a91689f4" targetNamespace="http://schemas.microsoft.com/office/2006/metadata/properties" ma:root="true" ma:fieldsID="cecf8bc7407e1f6416dc1e0478f336e0" ns2:_="">
    <xsd:import namespace="e50f17db-5791-4c76-be70-9786a9168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f17db-5791-4c76-be70-9786a9168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487FD-7AFF-4AC2-8D2A-AAC2373597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0f17db-5791-4c76-be70-9786a91689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E7120E-F4B5-41C0-AAED-AD605BD0B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E5ADF-BDE0-4EB3-BD75-F2D6D1DD8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f17db-5791-4c76-be70-9786a916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3</cp:revision>
  <dcterms:created xsi:type="dcterms:W3CDTF">2017-09-14T01:08:00Z</dcterms:created>
  <dcterms:modified xsi:type="dcterms:W3CDTF">2017-09-14T01:08:00Z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0x0101005098F690AC8BB7468305AC646B71B9B6</vt:lpwstr>
  </property>
</Properties>
</file>